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highlight w:val="none"/>
        </w:rPr>
      </w:pPr>
      <w:r>
        <w:rPr>
          <w:rFonts w:hint="eastAsia" w:ascii="黑体" w:hAnsi="黑体" w:eastAsia="黑体"/>
          <w:sz w:val="32"/>
          <w:szCs w:val="32"/>
          <w:highlight w:val="none"/>
        </w:rPr>
        <w:t>附件1</w:t>
      </w:r>
      <w:bookmarkStart w:id="0" w:name="_GoBack"/>
      <w:bookmarkEnd w:id="0"/>
    </w:p>
    <w:p>
      <w:pPr>
        <w:jc w:val="center"/>
        <w:rPr>
          <w:rFonts w:ascii="仿宋" w:hAnsi="仿宋" w:eastAsia="仿宋"/>
          <w:sz w:val="32"/>
          <w:szCs w:val="32"/>
          <w:highlight w:val="none"/>
        </w:rPr>
      </w:pPr>
    </w:p>
    <w:p>
      <w:pPr>
        <w:jc w:val="center"/>
        <w:rPr>
          <w:rFonts w:ascii="方正小标宋简体" w:hAnsi="方正小标宋简体" w:eastAsia="方正小标宋简体"/>
          <w:sz w:val="44"/>
          <w:szCs w:val="44"/>
          <w:highlight w:val="none"/>
        </w:rPr>
      </w:pPr>
      <w:r>
        <w:rPr>
          <w:rFonts w:ascii="方正小标宋简体" w:hAnsi="方正小标宋简体" w:eastAsia="方正小标宋简体"/>
          <w:sz w:val="44"/>
          <w:szCs w:val="44"/>
          <w:highlight w:val="none"/>
        </w:rPr>
        <w:t>2022年通州区课外、校外教育理论研讨会</w:t>
      </w:r>
    </w:p>
    <w:p>
      <w:pPr>
        <w:jc w:val="center"/>
        <w:rPr>
          <w:rFonts w:ascii="方正小标宋简体" w:hAnsi="方正小标宋简体" w:eastAsia="方正小标宋简体"/>
          <w:sz w:val="44"/>
          <w:szCs w:val="44"/>
          <w:highlight w:val="none"/>
        </w:rPr>
      </w:pPr>
      <w:r>
        <w:rPr>
          <w:rFonts w:hint="eastAsia" w:ascii="方正小标宋简体" w:hAnsi="方正小标宋简体" w:eastAsia="方正小标宋简体"/>
          <w:sz w:val="44"/>
          <w:szCs w:val="44"/>
          <w:highlight w:val="none"/>
        </w:rPr>
        <w:t>论文获奖名单</w:t>
      </w:r>
    </w:p>
    <w:p>
      <w:pPr>
        <w:jc w:val="center"/>
        <w:rPr>
          <w:rFonts w:ascii="仿宋" w:hAnsi="仿宋" w:eastAsia="仿宋"/>
          <w:sz w:val="32"/>
          <w:szCs w:val="32"/>
          <w:highlight w:val="non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2551"/>
        <w:gridCol w:w="1538"/>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序号</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单位名称</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论文题目</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作者姓名</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基于核心素养培育的校外“养正教育”实践研究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崔洪伟</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基于科技活动课程助力学校课后服务质量提升的实践探索</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王艳霞</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“双减”政策下有效开展茶艺社团活动的思考与实践</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李咏梅</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张孟春</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国画兴趣小组红色文化课程实践研究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聂满义</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通州区台湖镇中心小学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延习作教学于课外，品生活味道于课堂</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刘亚细</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“双减”背景下，校内外融合育人的实践研究——以参观鲁迅博物馆为例</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吴雷</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（市级二等奖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通州运河船号进儿童声乐课堂的探索</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曹雅玉</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“新课标”视域下课外合唱社团活动的实践研究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闫晶</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浅谈在“双减”与疫情背景下线上书法教学实践</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刘建军</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“双减”背景下校外社团活动与学校教育如何有效衔接的研究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宋平</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通州区西集中学    </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创新基础教育育人模式，丰富学生学习内容方式--依托地域文化特点的校外活动站建设及活动研究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胡志加</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（市级三等奖）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“双减”背景下探究中小学民乐团与学校音乐课堂的融合</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杨旭</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潞河国际教育学园</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动机式访谈法应用于提高国际学校高中生学习动机的实践探索</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崔月影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北京第二实验小学通州分校</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把脉“双减”政策，开展数学活动，促学生全面发展</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张一铭</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“双减”背景下课外篮球课程的设计与实践</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陈威</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16</w:t>
            </w:r>
          </w:p>
        </w:tc>
        <w:tc>
          <w:tcPr>
            <w:tcW w:w="1559" w:type="dxa"/>
            <w:vAlign w:val="top"/>
          </w:tcPr>
          <w:p>
            <w:pPr>
              <w:jc w:val="left"/>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通州区台湖学校</w:t>
            </w:r>
          </w:p>
        </w:tc>
        <w:tc>
          <w:tcPr>
            <w:tcW w:w="2551" w:type="dxa"/>
            <w:vAlign w:val="top"/>
          </w:tcPr>
          <w:p>
            <w:pPr>
              <w:jc w:val="left"/>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新时代书法进校园“五育并举”价值探微</w:t>
            </w:r>
          </w:p>
        </w:tc>
        <w:tc>
          <w:tcPr>
            <w:tcW w:w="1538" w:type="dxa"/>
            <w:vAlign w:val="top"/>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季晓媛</w:t>
            </w:r>
          </w:p>
          <w:p>
            <w:pPr>
              <w:jc w:val="center"/>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张蕾</w:t>
            </w:r>
          </w:p>
        </w:tc>
        <w:tc>
          <w:tcPr>
            <w:tcW w:w="1660" w:type="dxa"/>
            <w:vAlign w:val="top"/>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lang w:val="en-US" w:eastAsia="zh-CN"/>
              </w:rPr>
              <w:t>一</w:t>
            </w:r>
            <w:r>
              <w:rPr>
                <w:rFonts w:hint="eastAsia" w:ascii="仿宋GB2312" w:hAnsi="仿宋" w:eastAsia="仿宋GB2312"/>
                <w:sz w:val="32"/>
                <w:szCs w:val="32"/>
                <w:highlight w:val="none"/>
              </w:rPr>
              <w:t>等奖</w:t>
            </w:r>
          </w:p>
          <w:p>
            <w:pPr>
              <w:jc w:val="center"/>
              <w:rPr>
                <w:rFonts w:hint="eastAsia" w:ascii="仿宋GB2312" w:hAnsi="仿宋" w:eastAsia="仿宋GB2312" w:cstheme="minorBidi"/>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通州区后南仓小学</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校内外多元实践作业  助力双减</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王敏花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p>
            <w:pPr>
              <w:jc w:val="center"/>
              <w:rPr>
                <w:rFonts w:hint="eastAsia" w:ascii="仿宋GB2312" w:hAnsi="仿宋" w:eastAsia="仿宋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 18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通州区后南仓小学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加强环保教育，构建三结合教育网络</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刘小利</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p>
            <w:pPr>
              <w:tabs>
                <w:tab w:val="left" w:pos="1260"/>
              </w:tabs>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19</w:t>
            </w:r>
          </w:p>
        </w:tc>
        <w:tc>
          <w:tcPr>
            <w:tcW w:w="1559"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通州区梨园学校</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落实“双减”，课后趣味阅读服务在行动</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冯志莹</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p>
            <w:pPr>
              <w:jc w:val="center"/>
              <w:rPr>
                <w:rFonts w:hint="eastAsia" w:ascii="仿宋GB2312" w:hAnsi="仿宋" w:eastAsia="仿宋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通州区大杜社中学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“双减”背景下的校内外育人转化实践研究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王莉蛟</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p>
            <w:pPr>
              <w:jc w:val="center"/>
              <w:rPr>
                <w:rFonts w:hint="eastAsia" w:ascii="仿宋GB2312" w:hAnsi="仿宋" w:eastAsia="仿宋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21</w:t>
            </w:r>
          </w:p>
        </w:tc>
        <w:tc>
          <w:tcPr>
            <w:tcW w:w="1559" w:type="dxa"/>
            <w:vAlign w:val="top"/>
          </w:tcPr>
          <w:p>
            <w:pPr>
              <w:jc w:val="center"/>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通州区后南仓小学</w:t>
            </w:r>
          </w:p>
        </w:tc>
        <w:tc>
          <w:tcPr>
            <w:tcW w:w="2551" w:type="dxa"/>
            <w:vAlign w:val="top"/>
          </w:tcPr>
          <w:p>
            <w:pPr>
              <w:jc w:val="left"/>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探秘北京胡同，感受胡同文化</w:t>
            </w:r>
          </w:p>
        </w:tc>
        <w:tc>
          <w:tcPr>
            <w:tcW w:w="1538" w:type="dxa"/>
            <w:vAlign w:val="top"/>
          </w:tcPr>
          <w:p>
            <w:pPr>
              <w:jc w:val="center"/>
              <w:rPr>
                <w:rFonts w:hint="eastAsia" w:ascii="仿宋GB2312" w:hAnsi="仿宋" w:eastAsia="仿宋GB2312" w:cstheme="minorBidi"/>
                <w:kern w:val="2"/>
                <w:sz w:val="32"/>
                <w:szCs w:val="32"/>
                <w:highlight w:val="none"/>
                <w:lang w:val="en-US" w:eastAsia="zh-CN" w:bidi="ar-SA"/>
              </w:rPr>
            </w:pPr>
            <w:r>
              <w:rPr>
                <w:rFonts w:hint="eastAsia" w:ascii="仿宋GB2312" w:hAnsi="仿宋" w:eastAsia="仿宋GB2312"/>
                <w:sz w:val="32"/>
                <w:szCs w:val="32"/>
                <w:highlight w:val="none"/>
              </w:rPr>
              <w:t>张平</w:t>
            </w:r>
          </w:p>
        </w:tc>
        <w:tc>
          <w:tcPr>
            <w:tcW w:w="1660" w:type="dxa"/>
            <w:vAlign w:val="top"/>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p>
            <w:pPr>
              <w:jc w:val="center"/>
              <w:rPr>
                <w:rFonts w:hint="eastAsia" w:ascii="仿宋GB2312" w:hAnsi="仿宋" w:eastAsia="仿宋GB2312" w:cstheme="minorBidi"/>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22 </w:t>
            </w:r>
          </w:p>
        </w:tc>
        <w:tc>
          <w:tcPr>
            <w:tcW w:w="1559"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生活即是美育，以美育塑美术——美术活动生活化策略探究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梁晶</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23</w:t>
            </w:r>
          </w:p>
        </w:tc>
        <w:tc>
          <w:tcPr>
            <w:tcW w:w="1559"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通州区青少年活动中心</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舞动童年、快乐成长——校外舞蹈社团实践活动与学生美育相融合的策略探究</w:t>
            </w:r>
          </w:p>
          <w:p>
            <w:pPr>
              <w:jc w:val="left"/>
              <w:rPr>
                <w:rFonts w:hint="eastAsia" w:ascii="仿宋GB2312" w:hAnsi="仿宋" w:eastAsia="仿宋GB2312"/>
                <w:sz w:val="32"/>
                <w:szCs w:val="32"/>
                <w:highlight w:val="none"/>
              </w:rPr>
            </w:pP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韩静霞</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潞河中学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双减背景下我校新疆内高班学生课外体育社团发展现状分析</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何建春</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王丽坤</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整合校内外资源，创新兴趣小组实践研究——以书画社团在校园美育中的实践为例</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冯铭</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“双减”背景下学校课外活动问题及策略研究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武家宝</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“双减”背景下学校社团活动校内外融合育人的实践研究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李焕新</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韩月仓</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双减后教育的融合</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李春婧</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29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双减背景下道德与法治学科融合并丰富课外活动的策略研究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岳博潇</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通州区通运小学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浅析民间剪纸艺术构建特色课外活动的可行性与实施路径</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王晶</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通州区甘棠中学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多维度开放性评价 助推教育质量提升</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高雪莹</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崔建楠</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通州区甘棠中学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开展课外校外特色劳动教育，助推教育提质增效</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赵蕊</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通州区贡院小学</w:t>
            </w:r>
          </w:p>
        </w:tc>
        <w:tc>
          <w:tcPr>
            <w:tcW w:w="2551" w:type="dxa"/>
          </w:tcPr>
          <w:p>
            <w:pPr>
              <w:tabs>
                <w:tab w:val="left" w:pos="25"/>
              </w:tabs>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ab/>
            </w:r>
            <w:r>
              <w:rPr>
                <w:rFonts w:hint="eastAsia" w:ascii="仿宋GB2312" w:hAnsi="仿宋" w:eastAsia="仿宋GB2312"/>
                <w:sz w:val="32"/>
                <w:szCs w:val="32"/>
                <w:highlight w:val="none"/>
              </w:rPr>
              <w:t>“桌舞”飞扬 助力“双减”</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周林</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通州区贡院小学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课外教育融入红色文化的实践研究  </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季美林</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通州区贡院小学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“双减”背景下小学课外体育家庭作业的设计与实施策略</w:t>
            </w:r>
          </w:p>
          <w:p>
            <w:pPr>
              <w:jc w:val="center"/>
              <w:rPr>
                <w:rFonts w:hint="eastAsia" w:ascii="仿宋GB2312" w:hAnsi="仿宋" w:eastAsia="仿宋GB2312"/>
                <w:sz w:val="32"/>
                <w:szCs w:val="32"/>
                <w:highlight w:val="none"/>
              </w:rPr>
            </w:pP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王智杰</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史宝国</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北京教育科学研究院通州区第一实验小学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浅谈劳动教育丰富课外实践活动课程的策略</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东亚玲</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高娜</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北京教育科学研究院通州区第一实验小学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巧设活动评价策略，促进学生可持续发展</w:t>
            </w:r>
          </w:p>
          <w:p>
            <w:pPr>
              <w:rPr>
                <w:rFonts w:hint="eastAsia" w:ascii="仿宋GB2312" w:hAnsi="仿宋" w:eastAsia="仿宋GB2312"/>
                <w:sz w:val="32"/>
                <w:szCs w:val="32"/>
                <w:highlight w:val="none"/>
              </w:rPr>
            </w:pP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于宗花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北京市史家小学通州分校大杜社校区</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“双减”背景下，“家校社”合力推动劳动教育的研究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尚春艳</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39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通州区第四中学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创新校外活动内容，为学生成长保驾护航</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魏静</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家校协同下课外绘本课的探索与实践</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刘巍</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通州区台湖镇中心小学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“双减”下的小学体育教育教学活动新模式</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田野</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通州区西集中学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培养学生核心素养的重要阵地——校外劳动教育</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侯金菊</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侯雪花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通州区玉桥小学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“双减”背景下，多彩作业让课外活动更精彩</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岳福霞</w:t>
            </w:r>
          </w:p>
          <w:p>
            <w:pPr>
              <w:rPr>
                <w:rFonts w:hint="eastAsia" w:ascii="仿宋GB2312" w:hAnsi="仿宋" w:eastAsia="仿宋GB2312"/>
                <w:sz w:val="32"/>
                <w:szCs w:val="32"/>
                <w:highlight w:val="none"/>
              </w:rPr>
            </w:pPr>
          </w:p>
          <w:p>
            <w:pPr>
              <w:jc w:val="center"/>
              <w:rPr>
                <w:rFonts w:hint="eastAsia" w:ascii="仿宋GB2312" w:hAnsi="仿宋" w:eastAsia="仿宋GB2312"/>
                <w:sz w:val="32"/>
                <w:szCs w:val="32"/>
                <w:highlight w:val="none"/>
              </w:rPr>
            </w:pP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通州区北苑小学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双减落地，玩转数学--谈小学数学游戏与课外服务相融合</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赵雨英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通州区大杜社中学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N的平方——班级建设的思考与实践</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明树春</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兼用教材与生活资源，培养学生的文化素养——“双减”教育背景下校内外融合育人研究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侯雅欣</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通州区甘棠中学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推行信息化技术 提高课外教育质量</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许雪</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付雨辰</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通州区临河里小学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基于核心素养视野下的小学生课外英语绘本阅读实践研究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夏玲</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49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北京市史家小学通州分校大杜社校区</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“双减”背景下小学高年级数学校外实践性活动研究及效果分析</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许博</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通州区次渠中学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优化作业设计，实现校内外融合育人</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钮晓雯</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通州区次渠中学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核心素养下课外课程的开发及教学研究——以生物学制作“细胞”模型为例</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辛宁</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劳动教育融入小学语文课堂的路径探析</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刘新月</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真诚沟通 携手育人——“双减”背景下校内外融合育人的实践</w:t>
            </w:r>
          </w:p>
        </w:tc>
        <w:tc>
          <w:tcPr>
            <w:tcW w:w="1538" w:type="dxa"/>
          </w:tcPr>
          <w:p>
            <w:pPr>
              <w:tabs>
                <w:tab w:val="center" w:pos="661"/>
              </w:tabs>
              <w:rPr>
                <w:rFonts w:hint="eastAsia" w:ascii="仿宋GB2312" w:hAnsi="仿宋" w:eastAsia="仿宋GB2312"/>
                <w:sz w:val="32"/>
                <w:szCs w:val="32"/>
                <w:highlight w:val="none"/>
              </w:rPr>
            </w:pPr>
            <w:r>
              <w:rPr>
                <w:rFonts w:hint="eastAsia" w:ascii="仿宋GB2312" w:hAnsi="仿宋" w:eastAsia="仿宋GB2312"/>
                <w:sz w:val="32"/>
                <w:szCs w:val="32"/>
                <w:highlight w:val="none"/>
              </w:rPr>
              <w:tab/>
            </w:r>
            <w:r>
              <w:rPr>
                <w:rFonts w:hint="eastAsia" w:ascii="仿宋GB2312" w:hAnsi="仿宋" w:eastAsia="仿宋GB2312"/>
                <w:sz w:val="32"/>
                <w:szCs w:val="32"/>
                <w:highlight w:val="none"/>
              </w:rPr>
              <w:t>沈丽娟</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课后服务课程中基于美术单元化教学提升学生创意实践素养的策略研究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李丽</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浅议剪纸活动中学生创造力的培养</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杨震</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通州区漷县镇中心小学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“双减”背景下开展小学数学综合实践活动的研究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王蕾</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通州区漷县镇中心小学 </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“双减”背景下开展“5+3”大课间活动促进学生身心健康发展的研究</w:t>
            </w:r>
            <w:r>
              <w:rPr>
                <w:rFonts w:hint="eastAsia" w:ascii="仿宋GB2312" w:hAnsi="仿宋" w:eastAsia="仿宋GB2312"/>
                <w:sz w:val="32"/>
                <w:szCs w:val="32"/>
                <w:highlight w:val="none"/>
              </w:rPr>
              <w:tab/>
            </w:r>
            <w:r>
              <w:rPr>
                <w:rFonts w:hint="eastAsia" w:ascii="仿宋GB2312" w:hAnsi="仿宋" w:eastAsia="仿宋GB2312"/>
                <w:sz w:val="32"/>
                <w:szCs w:val="32"/>
                <w:highlight w:val="none"/>
              </w:rPr>
              <w:t xml:space="preserve"> </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 xml:space="preserve">张光月 </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潞河中学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高中历史校内外融合课程育人价值探究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熊洁婕</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59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潞河中学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指向减负体制的高中数学作业科学设计的有效探究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王伟豪</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课外活动中音乐舞蹈融合育人的实践研究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陶美艳</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“双减”背景下如何提升校内外体育活动质量的探讨</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阮晓飞</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“双减”视阈下校内外音乐课后服务联合体构建策略研究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张文思</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小学课外开展合唱活动的实施与探究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徐京娜</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“双减”背景下，思政学科开展课外教育活动的实践研究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张莹</w:t>
            </w:r>
          </w:p>
        </w:tc>
        <w:tc>
          <w:tcPr>
            <w:tcW w:w="1660" w:type="dxa"/>
          </w:tcPr>
          <w:p>
            <w:pPr>
              <w:jc w:val="center"/>
              <w:rPr>
                <w:rFonts w:hint="eastAsia" w:ascii="仿宋GB2312" w:hAnsi="仿宋" w:eastAsia="仿宋GB2312"/>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通州区马驹桥镇中心小学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“双减”背景下小学美术校内外融合育人的实践研究——立足“童真墨趣”，坚定“文化自信”</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韩静</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通州区台湖镇中心小学</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“减负、提质”理念下以培养学生批判性思维为指向的兴趣小组“欣赏·评述”教学实践研究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王影</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通州区台湖镇中心小学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“双减”背景下小学语文古诗词教学与课外活动融合育人的策略探析</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牛盈鉴</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北京市育才学校通州分校</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“双减”背景下,校内外融合教育的实践探索研究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李莹莹</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69</w:t>
            </w:r>
          </w:p>
        </w:tc>
        <w:tc>
          <w:tcPr>
            <w:tcW w:w="1559"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北京市育才学校通州分校</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天文类兴趣小组未来发展探究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胡锦鑫</w:t>
            </w:r>
          </w:p>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邹宁</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通州区后南仓小学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新时代后小的艺术教育特色</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杨卫平</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引进多元课程，丰富“双减”供给</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李娜</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72</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通州区北关中学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“双减”背景下校内外融合育人的红色教育实践活动研究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袁蕾</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73</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通州区西集镇中心小学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“双减”背景下小学体育学科校内外教育的有效融合</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崔瑞丰</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74</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通州区于家务乡中心小学</w:t>
            </w:r>
          </w:p>
        </w:tc>
        <w:tc>
          <w:tcPr>
            <w:tcW w:w="2551" w:type="dxa"/>
          </w:tcPr>
          <w:p>
            <w:pPr>
              <w:rPr>
                <w:rFonts w:hint="eastAsia" w:ascii="仿宋GB2312" w:hAnsi="仿宋" w:eastAsia="仿宋GB2312"/>
                <w:sz w:val="32"/>
                <w:szCs w:val="32"/>
                <w:highlight w:val="none"/>
              </w:rPr>
            </w:pPr>
            <w:r>
              <w:rPr>
                <w:rFonts w:hint="eastAsia" w:ascii="仿宋GB2312" w:hAnsi="仿宋" w:eastAsia="仿宋GB2312"/>
                <w:sz w:val="32"/>
                <w:szCs w:val="32"/>
                <w:highlight w:val="none"/>
              </w:rPr>
              <w:t>让“立人”教育理念落地生根</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王爱农</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75</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通州区于家务乡中心小学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小学生参加校外舞蹈训练的动机的实践研究---以于家务乡中心小学为例</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何婷</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76</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北京市育才学校通州分校</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依托初中物理校本课程，开展课后服务的课程研究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王妍</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77</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建立家长学校，家校合作为学生撑起一片晴空</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王青</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78</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初中英语课外活动的实践与研究</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连晓荣</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79</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首都师范大学附属中学（通州校区）</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如何在初中数学教学中培养学生的创新能力</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王明新</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80</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通州区通运小学</w:t>
            </w:r>
          </w:p>
        </w:tc>
        <w:tc>
          <w:tcPr>
            <w:tcW w:w="2551" w:type="dxa"/>
          </w:tcPr>
          <w:p>
            <w:pPr>
              <w:tabs>
                <w:tab w:val="center" w:pos="1167"/>
              </w:tabs>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课外幼儿教育活动有效实施策略</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房克娜</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81</w:t>
            </w:r>
          </w:p>
        </w:tc>
        <w:tc>
          <w:tcPr>
            <w:tcW w:w="1559"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通州区大杜社中学</w:t>
            </w:r>
          </w:p>
        </w:tc>
        <w:tc>
          <w:tcPr>
            <w:tcW w:w="2551" w:type="dxa"/>
          </w:tcPr>
          <w:p>
            <w:pPr>
              <w:jc w:val="left"/>
              <w:rPr>
                <w:rFonts w:hint="eastAsia" w:ascii="仿宋GB2312" w:hAnsi="仿宋" w:eastAsia="仿宋GB2312"/>
                <w:sz w:val="32"/>
                <w:szCs w:val="32"/>
                <w:highlight w:val="none"/>
              </w:rPr>
            </w:pPr>
            <w:r>
              <w:rPr>
                <w:rFonts w:hint="eastAsia" w:ascii="仿宋GB2312" w:hAnsi="仿宋" w:eastAsia="仿宋GB2312"/>
                <w:sz w:val="32"/>
                <w:szCs w:val="32"/>
                <w:highlight w:val="none"/>
              </w:rPr>
              <w:t>一场走心的“家校合作”</w:t>
            </w:r>
          </w:p>
        </w:tc>
        <w:tc>
          <w:tcPr>
            <w:tcW w:w="1538"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王悦</w:t>
            </w:r>
          </w:p>
        </w:tc>
        <w:tc>
          <w:tcPr>
            <w:tcW w:w="1660" w:type="dxa"/>
          </w:tcPr>
          <w:p>
            <w:pPr>
              <w:jc w:val="center"/>
              <w:rPr>
                <w:rFonts w:hint="eastAsia" w:ascii="仿宋GB2312" w:hAnsi="仿宋" w:eastAsia="仿宋GB2312"/>
                <w:sz w:val="32"/>
                <w:szCs w:val="32"/>
                <w:highlight w:val="none"/>
              </w:rPr>
            </w:pPr>
            <w:r>
              <w:rPr>
                <w:rFonts w:hint="eastAsia" w:ascii="仿宋GB2312" w:hAnsi="仿宋" w:eastAsia="仿宋GB2312"/>
                <w:sz w:val="32"/>
                <w:szCs w:val="32"/>
                <w:highlight w:val="none"/>
              </w:rPr>
              <w:t>三等奖</w:t>
            </w:r>
          </w:p>
        </w:tc>
      </w:tr>
    </w:tbl>
    <w:p>
      <w:pPr>
        <w:rPr>
          <w:rFonts w:hint="eastAsia" w:ascii="仿宋" w:hAnsi="仿宋" w:eastAsia="仿宋"/>
          <w:sz w:val="32"/>
          <w:szCs w:val="32"/>
          <w:highlight w:val="none"/>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1" w:fontKey="{2A492C21-6A51-4BD8-B76A-90CF8C1DA326}"/>
  </w:font>
  <w:font w:name="方正小标宋简体">
    <w:panose1 w:val="02000000000000000000"/>
    <w:charset w:val="86"/>
    <w:family w:val="auto"/>
    <w:pitch w:val="default"/>
    <w:sig w:usb0="00000001" w:usb1="08000000" w:usb2="00000000" w:usb3="00000000" w:csb0="00040000" w:csb1="00000000"/>
    <w:embedRegular r:id="rId2" w:fontKey="{62BF007B-0B92-403C-9FD0-BF3245258200}"/>
  </w:font>
  <w:font w:name="仿宋GB2312">
    <w:altName w:val="宋体"/>
    <w:panose1 w:val="00000000000000000000"/>
    <w:charset w:val="86"/>
    <w:family w:val="roman"/>
    <w:pitch w:val="default"/>
    <w:sig w:usb0="00000000" w:usb1="00000000" w:usb2="00000000" w:usb3="00000000" w:csb0="00000000" w:csb1="00000000"/>
    <w:embedRegular r:id="rId3" w:fontKey="{59B23DAF-F848-4B7B-AEAA-D9ED64320B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iMTE1YTdkMGFmNWNiYzQzN2M4YTljODlkMGZjYWIifQ=="/>
  </w:docVars>
  <w:rsids>
    <w:rsidRoot w:val="00237140"/>
    <w:rsid w:val="00013161"/>
    <w:rsid w:val="00032241"/>
    <w:rsid w:val="0004219F"/>
    <w:rsid w:val="00052F26"/>
    <w:rsid w:val="00053E27"/>
    <w:rsid w:val="0005515E"/>
    <w:rsid w:val="00072115"/>
    <w:rsid w:val="00076869"/>
    <w:rsid w:val="00086BC9"/>
    <w:rsid w:val="000A09C3"/>
    <w:rsid w:val="000C0C4B"/>
    <w:rsid w:val="000D25C9"/>
    <w:rsid w:val="000D31B4"/>
    <w:rsid w:val="000E547A"/>
    <w:rsid w:val="000F49EE"/>
    <w:rsid w:val="00102368"/>
    <w:rsid w:val="00106936"/>
    <w:rsid w:val="00127722"/>
    <w:rsid w:val="00130861"/>
    <w:rsid w:val="00153073"/>
    <w:rsid w:val="0015396D"/>
    <w:rsid w:val="0015631D"/>
    <w:rsid w:val="00156EB4"/>
    <w:rsid w:val="0019223A"/>
    <w:rsid w:val="001A1DEC"/>
    <w:rsid w:val="001A5C15"/>
    <w:rsid w:val="001B1B1C"/>
    <w:rsid w:val="001D3CB8"/>
    <w:rsid w:val="001D7DC2"/>
    <w:rsid w:val="001E25AA"/>
    <w:rsid w:val="001F0788"/>
    <w:rsid w:val="001F7F7B"/>
    <w:rsid w:val="0020742E"/>
    <w:rsid w:val="002143A8"/>
    <w:rsid w:val="00233D4F"/>
    <w:rsid w:val="00237140"/>
    <w:rsid w:val="00291DFF"/>
    <w:rsid w:val="00297A4C"/>
    <w:rsid w:val="002B0E70"/>
    <w:rsid w:val="002D5519"/>
    <w:rsid w:val="002E43C3"/>
    <w:rsid w:val="002F744A"/>
    <w:rsid w:val="003247ED"/>
    <w:rsid w:val="0032708C"/>
    <w:rsid w:val="00335C6A"/>
    <w:rsid w:val="0033699F"/>
    <w:rsid w:val="00341468"/>
    <w:rsid w:val="00350987"/>
    <w:rsid w:val="00356078"/>
    <w:rsid w:val="0036041B"/>
    <w:rsid w:val="003757FA"/>
    <w:rsid w:val="00382435"/>
    <w:rsid w:val="003B3166"/>
    <w:rsid w:val="003D0745"/>
    <w:rsid w:val="003D192D"/>
    <w:rsid w:val="00401059"/>
    <w:rsid w:val="00412177"/>
    <w:rsid w:val="004360BB"/>
    <w:rsid w:val="00442170"/>
    <w:rsid w:val="00477DC3"/>
    <w:rsid w:val="0048260D"/>
    <w:rsid w:val="00487BD5"/>
    <w:rsid w:val="00490F13"/>
    <w:rsid w:val="0049670A"/>
    <w:rsid w:val="00497B32"/>
    <w:rsid w:val="004C1B1D"/>
    <w:rsid w:val="004C1C17"/>
    <w:rsid w:val="004F41ED"/>
    <w:rsid w:val="004F6DE5"/>
    <w:rsid w:val="00503837"/>
    <w:rsid w:val="00504806"/>
    <w:rsid w:val="00511BE3"/>
    <w:rsid w:val="00532150"/>
    <w:rsid w:val="00534E20"/>
    <w:rsid w:val="00554EB7"/>
    <w:rsid w:val="005556AD"/>
    <w:rsid w:val="00597C83"/>
    <w:rsid w:val="005A4E29"/>
    <w:rsid w:val="005B2152"/>
    <w:rsid w:val="005C17A8"/>
    <w:rsid w:val="005E76B3"/>
    <w:rsid w:val="005F0D51"/>
    <w:rsid w:val="005F1E58"/>
    <w:rsid w:val="005F62D9"/>
    <w:rsid w:val="00620775"/>
    <w:rsid w:val="0065323E"/>
    <w:rsid w:val="00660E45"/>
    <w:rsid w:val="00663AF9"/>
    <w:rsid w:val="00664BFD"/>
    <w:rsid w:val="00671072"/>
    <w:rsid w:val="00680304"/>
    <w:rsid w:val="00692AE7"/>
    <w:rsid w:val="006A2161"/>
    <w:rsid w:val="006A3AC8"/>
    <w:rsid w:val="006A4134"/>
    <w:rsid w:val="006A7E2D"/>
    <w:rsid w:val="006B4DF4"/>
    <w:rsid w:val="006C6E1D"/>
    <w:rsid w:val="006E706C"/>
    <w:rsid w:val="006F33FC"/>
    <w:rsid w:val="006F39DF"/>
    <w:rsid w:val="00701DF3"/>
    <w:rsid w:val="007168C0"/>
    <w:rsid w:val="00731A5F"/>
    <w:rsid w:val="007510AD"/>
    <w:rsid w:val="00772687"/>
    <w:rsid w:val="00775B8B"/>
    <w:rsid w:val="007A5525"/>
    <w:rsid w:val="007C4CB9"/>
    <w:rsid w:val="007E0949"/>
    <w:rsid w:val="007E6ACE"/>
    <w:rsid w:val="007E77A2"/>
    <w:rsid w:val="00802BA3"/>
    <w:rsid w:val="00832849"/>
    <w:rsid w:val="0083358C"/>
    <w:rsid w:val="008342C9"/>
    <w:rsid w:val="0084210B"/>
    <w:rsid w:val="00875F2D"/>
    <w:rsid w:val="008814E2"/>
    <w:rsid w:val="008B50D6"/>
    <w:rsid w:val="008C2ABA"/>
    <w:rsid w:val="008C3214"/>
    <w:rsid w:val="008C51DF"/>
    <w:rsid w:val="008D07EE"/>
    <w:rsid w:val="008D2F67"/>
    <w:rsid w:val="008D57AD"/>
    <w:rsid w:val="00907C76"/>
    <w:rsid w:val="00912BEA"/>
    <w:rsid w:val="009203A9"/>
    <w:rsid w:val="00935134"/>
    <w:rsid w:val="009551F5"/>
    <w:rsid w:val="00963A1A"/>
    <w:rsid w:val="00963F5E"/>
    <w:rsid w:val="009674EB"/>
    <w:rsid w:val="009915A0"/>
    <w:rsid w:val="009A6750"/>
    <w:rsid w:val="009E53E0"/>
    <w:rsid w:val="00A01078"/>
    <w:rsid w:val="00A02858"/>
    <w:rsid w:val="00A04380"/>
    <w:rsid w:val="00A20AE9"/>
    <w:rsid w:val="00A22DCA"/>
    <w:rsid w:val="00A34250"/>
    <w:rsid w:val="00A3557A"/>
    <w:rsid w:val="00A47387"/>
    <w:rsid w:val="00A53422"/>
    <w:rsid w:val="00A86F41"/>
    <w:rsid w:val="00A95837"/>
    <w:rsid w:val="00A9782A"/>
    <w:rsid w:val="00AB1E40"/>
    <w:rsid w:val="00AB6AAD"/>
    <w:rsid w:val="00AC118D"/>
    <w:rsid w:val="00AC22E0"/>
    <w:rsid w:val="00AD05D5"/>
    <w:rsid w:val="00AE5657"/>
    <w:rsid w:val="00B17494"/>
    <w:rsid w:val="00B323E6"/>
    <w:rsid w:val="00B40ED8"/>
    <w:rsid w:val="00B46ADC"/>
    <w:rsid w:val="00B6335B"/>
    <w:rsid w:val="00B71CDD"/>
    <w:rsid w:val="00B8165D"/>
    <w:rsid w:val="00BA127E"/>
    <w:rsid w:val="00BA23C4"/>
    <w:rsid w:val="00BB5C3E"/>
    <w:rsid w:val="00BC21FC"/>
    <w:rsid w:val="00BC5523"/>
    <w:rsid w:val="00BE1C1F"/>
    <w:rsid w:val="00C019FF"/>
    <w:rsid w:val="00C14A9A"/>
    <w:rsid w:val="00C35021"/>
    <w:rsid w:val="00C51843"/>
    <w:rsid w:val="00C75FED"/>
    <w:rsid w:val="00C8535D"/>
    <w:rsid w:val="00C912FD"/>
    <w:rsid w:val="00CA2271"/>
    <w:rsid w:val="00CB7CEE"/>
    <w:rsid w:val="00CD2AED"/>
    <w:rsid w:val="00CD62D5"/>
    <w:rsid w:val="00D01A15"/>
    <w:rsid w:val="00D209EE"/>
    <w:rsid w:val="00D270A3"/>
    <w:rsid w:val="00D37E04"/>
    <w:rsid w:val="00D838C4"/>
    <w:rsid w:val="00D96E67"/>
    <w:rsid w:val="00DA30C0"/>
    <w:rsid w:val="00DA3107"/>
    <w:rsid w:val="00DC0743"/>
    <w:rsid w:val="00DC129D"/>
    <w:rsid w:val="00DD00E9"/>
    <w:rsid w:val="00DD1CAE"/>
    <w:rsid w:val="00DD4976"/>
    <w:rsid w:val="00DE742A"/>
    <w:rsid w:val="00E01E20"/>
    <w:rsid w:val="00E07BF8"/>
    <w:rsid w:val="00E16645"/>
    <w:rsid w:val="00E5422C"/>
    <w:rsid w:val="00E57E80"/>
    <w:rsid w:val="00E775E1"/>
    <w:rsid w:val="00E83A7C"/>
    <w:rsid w:val="00E8634A"/>
    <w:rsid w:val="00E87C8B"/>
    <w:rsid w:val="00E90DF7"/>
    <w:rsid w:val="00EA7229"/>
    <w:rsid w:val="00EB60F1"/>
    <w:rsid w:val="00ED2E5D"/>
    <w:rsid w:val="00EE191C"/>
    <w:rsid w:val="00EF06C0"/>
    <w:rsid w:val="00F73C25"/>
    <w:rsid w:val="00F81C06"/>
    <w:rsid w:val="00FA51AF"/>
    <w:rsid w:val="00FD0971"/>
    <w:rsid w:val="00FD2883"/>
    <w:rsid w:val="00FE46FD"/>
    <w:rsid w:val="00FE6870"/>
    <w:rsid w:val="00FF082D"/>
    <w:rsid w:val="00FF23AB"/>
    <w:rsid w:val="0B8B51E2"/>
    <w:rsid w:val="17CB1ADA"/>
    <w:rsid w:val="3AA6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3258</Words>
  <Characters>3339</Characters>
  <Lines>27</Lines>
  <Paragraphs>7</Paragraphs>
  <TotalTime>1</TotalTime>
  <ScaleCrop>false</ScaleCrop>
  <LinksUpToDate>false</LinksUpToDate>
  <CharactersWithSpaces>3370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2022-12-30T09:36:00Z</dcterms:created>
  <dc:creator>张孟春</dc:creator>
  <cp:lastModifiedBy>郑美丹</cp:lastModifiedBy>
  <cp:lastPrinted>2023-01-07T05:29:00Z</cp:lastPrinted>
  <dcterms:modified xsi:type="dcterms:W3CDTF">2023-02-14T07:33:57Z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D6C87070860A4971BEAD8F56BD16EB86</vt:lpwstr>
  </property>
</Properties>
</file>